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9"/>
        <w:gridCol w:w="3850"/>
      </w:tblGrid>
      <w:tr w:rsidR="005A1E0F" w:rsidRPr="007E789F" w14:paraId="38A3852F" w14:textId="77777777" w:rsidTr="000D68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1C3D9" w14:textId="77777777" w:rsidR="005A1E0F" w:rsidRPr="00122210" w:rsidRDefault="005A1E0F" w:rsidP="000D682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32EB3" w14:textId="77777777" w:rsidR="005A1E0F" w:rsidRPr="00122210" w:rsidRDefault="005A1E0F" w:rsidP="000D682F">
            <w:pPr>
              <w:spacing w:after="0"/>
              <w:jc w:val="center"/>
              <w:rPr>
                <w:lang w:val="ru-RU"/>
              </w:rPr>
            </w:pPr>
            <w:r w:rsidRPr="00122210">
              <w:rPr>
                <w:color w:val="000000"/>
                <w:sz w:val="20"/>
                <w:lang w:val="ru-RU"/>
              </w:rPr>
              <w:t>Приложение 1</w:t>
            </w:r>
            <w:r w:rsidRPr="00122210">
              <w:rPr>
                <w:lang w:val="ru-RU"/>
              </w:rPr>
              <w:br/>
            </w:r>
            <w:r w:rsidRPr="00122210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122210">
              <w:rPr>
                <w:lang w:val="ru-RU"/>
              </w:rPr>
              <w:br/>
            </w:r>
            <w:r w:rsidRPr="00122210">
              <w:rPr>
                <w:color w:val="000000"/>
                <w:sz w:val="20"/>
                <w:lang w:val="ru-RU"/>
              </w:rPr>
              <w:t>ученых званий (ассоциированный</w:t>
            </w:r>
            <w:r w:rsidRPr="00122210">
              <w:rPr>
                <w:lang w:val="ru-RU"/>
              </w:rPr>
              <w:br/>
            </w:r>
            <w:r w:rsidRPr="00122210">
              <w:rPr>
                <w:color w:val="000000"/>
                <w:sz w:val="20"/>
                <w:lang w:val="ru-RU"/>
              </w:rPr>
              <w:t>профессор (доцент), профессор)</w:t>
            </w:r>
          </w:p>
        </w:tc>
      </w:tr>
    </w:tbl>
    <w:p w14:paraId="74393529" w14:textId="6ADDD1DF" w:rsidR="005A1E0F" w:rsidRPr="005A1E0F" w:rsidRDefault="005A1E0F" w:rsidP="005A1E0F">
      <w:pPr>
        <w:spacing w:after="0"/>
        <w:jc w:val="both"/>
        <w:rPr>
          <w:lang w:val="ru-RU"/>
        </w:rPr>
      </w:pPr>
      <w:r w:rsidRPr="0012221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22210">
        <w:rPr>
          <w:color w:val="FF0000"/>
          <w:sz w:val="28"/>
          <w:lang w:val="ru-RU"/>
        </w:rPr>
        <w:t xml:space="preserve"> </w:t>
      </w:r>
    </w:p>
    <w:p w14:paraId="51B964F9" w14:textId="3C9190DA" w:rsidR="005A1E0F" w:rsidRPr="007E789F" w:rsidRDefault="005A1E0F" w:rsidP="007E789F">
      <w:pPr>
        <w:spacing w:after="0" w:line="240" w:lineRule="auto"/>
        <w:contextualSpacing/>
        <w:jc w:val="center"/>
        <w:rPr>
          <w:sz w:val="24"/>
          <w:szCs w:val="24"/>
          <w:lang w:val="ru-RU"/>
        </w:rPr>
      </w:pPr>
      <w:bookmarkStart w:id="0" w:name="z78"/>
      <w:r w:rsidRPr="007E789F">
        <w:rPr>
          <w:b/>
          <w:color w:val="000000"/>
          <w:sz w:val="24"/>
          <w:szCs w:val="24"/>
          <w:lang w:val="ru-RU"/>
        </w:rPr>
        <w:t>С</w:t>
      </w:r>
      <w:r w:rsidR="00A40D9E" w:rsidRPr="007E789F">
        <w:rPr>
          <w:b/>
          <w:color w:val="000000"/>
          <w:sz w:val="24"/>
          <w:szCs w:val="24"/>
          <w:lang w:val="ru-RU"/>
        </w:rPr>
        <w:t>ПРАВКА</w:t>
      </w:r>
    </w:p>
    <w:bookmarkEnd w:id="0"/>
    <w:p w14:paraId="144CF725" w14:textId="7730038D" w:rsidR="005A1E0F" w:rsidRPr="007E789F" w:rsidRDefault="005A1E0F" w:rsidP="007E789F">
      <w:pPr>
        <w:spacing w:after="0" w:line="240" w:lineRule="auto"/>
        <w:contextualSpacing/>
        <w:jc w:val="center"/>
        <w:rPr>
          <w:sz w:val="24"/>
          <w:szCs w:val="24"/>
          <w:lang w:val="ru-RU"/>
        </w:rPr>
      </w:pPr>
      <w:r w:rsidRPr="007E789F">
        <w:rPr>
          <w:color w:val="000000"/>
          <w:sz w:val="24"/>
          <w:szCs w:val="24"/>
          <w:lang w:val="ru-RU"/>
        </w:rPr>
        <w:t>о соискателе ученого звания</w:t>
      </w:r>
      <w:r w:rsidR="00A40D9E" w:rsidRPr="007E789F">
        <w:rPr>
          <w:color w:val="000000"/>
          <w:sz w:val="24"/>
          <w:szCs w:val="24"/>
          <w:lang w:val="ru-RU"/>
        </w:rPr>
        <w:t xml:space="preserve"> ассоциированного профессора (доцента)</w:t>
      </w:r>
    </w:p>
    <w:p w14:paraId="67B20F0B" w14:textId="7E376016" w:rsidR="005A1E0F" w:rsidRPr="007E789F" w:rsidRDefault="005A1E0F" w:rsidP="007E789F">
      <w:pPr>
        <w:spacing w:after="0" w:line="240" w:lineRule="auto"/>
        <w:contextualSpacing/>
        <w:jc w:val="center"/>
        <w:rPr>
          <w:sz w:val="24"/>
          <w:szCs w:val="24"/>
          <w:lang w:val="ru-RU"/>
        </w:rPr>
      </w:pPr>
      <w:r w:rsidRPr="007E789F">
        <w:rPr>
          <w:color w:val="000000"/>
          <w:sz w:val="24"/>
          <w:szCs w:val="24"/>
          <w:lang w:val="ru-RU"/>
        </w:rPr>
        <w:t xml:space="preserve">по </w:t>
      </w:r>
      <w:r w:rsidR="007E789F" w:rsidRPr="007E789F">
        <w:rPr>
          <w:color w:val="000000"/>
          <w:sz w:val="24"/>
          <w:szCs w:val="24"/>
          <w:lang w:val="ru-RU"/>
        </w:rPr>
        <w:t>научному направлению</w:t>
      </w:r>
      <w:r w:rsidRPr="007E789F">
        <w:rPr>
          <w:color w:val="000000"/>
          <w:sz w:val="24"/>
          <w:szCs w:val="24"/>
          <w:lang w:val="ru-RU"/>
        </w:rPr>
        <w:t xml:space="preserve"> </w:t>
      </w:r>
      <w:r w:rsidR="00A40D9E" w:rsidRPr="007E789F">
        <w:rPr>
          <w:b/>
          <w:bCs/>
          <w:color w:val="000000"/>
          <w:sz w:val="24"/>
          <w:szCs w:val="24"/>
          <w:lang w:val="ru-RU"/>
        </w:rPr>
        <w:t>50200 «Экономика и бизнес»</w:t>
      </w:r>
    </w:p>
    <w:p w14:paraId="1CE20044" w14:textId="77777777" w:rsidR="00A40D9E" w:rsidRPr="007E789F" w:rsidRDefault="00A40D9E" w:rsidP="007E789F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00"/>
        <w:gridCol w:w="4690"/>
      </w:tblGrid>
      <w:tr w:rsidR="005A1E0F" w:rsidRPr="007E789F" w14:paraId="17360BC1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9EA8E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80E60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9B2E" w14:textId="023AA2E7" w:rsidR="005A1E0F" w:rsidRPr="007E789F" w:rsidRDefault="00A40D9E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E789F">
              <w:rPr>
                <w:sz w:val="20"/>
                <w:szCs w:val="20"/>
                <w:lang w:val="ru-RU"/>
              </w:rPr>
              <w:t>Череева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Бахытгуль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Тулегеновна</w:t>
            </w:r>
            <w:proofErr w:type="spellEnd"/>
          </w:p>
        </w:tc>
      </w:tr>
      <w:tr w:rsidR="005A1E0F" w:rsidRPr="007E789F" w14:paraId="4599C6DC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AF00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5C34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7E789F">
              <w:rPr>
                <w:color w:val="000000"/>
                <w:sz w:val="20"/>
                <w:szCs w:val="20"/>
              </w:rPr>
              <w:t>PhD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7E789F">
              <w:rPr>
                <w:color w:val="000000"/>
                <w:sz w:val="20"/>
                <w:szCs w:val="20"/>
              </w:rPr>
              <w:t>PhD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7E789F">
              <w:rPr>
                <w:color w:val="000000"/>
                <w:sz w:val="20"/>
                <w:szCs w:val="20"/>
              </w:rPr>
              <w:t>PhD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>), доктора по профилю, дата присуждения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5360A" w14:textId="77777777" w:rsidR="00A40D9E" w:rsidRPr="007E789F" w:rsidRDefault="00A40D9E" w:rsidP="007E789F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7CE1227C" w14:textId="14D904AE" w:rsidR="005A1E0F" w:rsidRPr="007E789F" w:rsidRDefault="00A40D9E" w:rsidP="007E789F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Доктор философии (</w:t>
            </w:r>
            <w:r w:rsidRPr="007E789F">
              <w:rPr>
                <w:b/>
                <w:bCs/>
                <w:sz w:val="20"/>
                <w:szCs w:val="20"/>
              </w:rPr>
              <w:t>PhD</w:t>
            </w:r>
            <w:r w:rsidRPr="007E789F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14:paraId="1D314C76" w14:textId="6660172C" w:rsidR="00A40D9E" w:rsidRPr="007E789F" w:rsidRDefault="00A40D9E" w:rsidP="007E789F">
            <w:pPr>
              <w:spacing w:after="0" w:line="240" w:lineRule="auto"/>
              <w:ind w:left="20"/>
              <w:contextualSpacing/>
              <w:rPr>
                <w:sz w:val="20"/>
                <w:szCs w:val="20"/>
                <w:lang w:val="kk-KZ"/>
              </w:rPr>
            </w:pPr>
            <w:r w:rsidRPr="007E789F">
              <w:rPr>
                <w:sz w:val="20"/>
                <w:szCs w:val="20"/>
                <w:lang w:val="kk-KZ"/>
              </w:rPr>
              <w:t>По специальности 6</w:t>
            </w:r>
            <w:r w:rsidRPr="007E789F">
              <w:rPr>
                <w:sz w:val="20"/>
                <w:szCs w:val="20"/>
              </w:rPr>
              <w:t>D</w:t>
            </w:r>
            <w:r w:rsidRPr="007E789F">
              <w:rPr>
                <w:sz w:val="20"/>
                <w:szCs w:val="20"/>
                <w:lang w:val="ru-RU"/>
              </w:rPr>
              <w:t>051000 – «</w:t>
            </w:r>
            <w:r w:rsidRPr="007E789F">
              <w:rPr>
                <w:sz w:val="20"/>
                <w:szCs w:val="20"/>
                <w:lang w:val="kk-KZ"/>
              </w:rPr>
              <w:t>Государственное и местное управление»,</w:t>
            </w:r>
          </w:p>
          <w:p w14:paraId="319D1A2B" w14:textId="4E28F8AE" w:rsidR="00A40D9E" w:rsidRPr="007E789F" w:rsidRDefault="00A40D9E" w:rsidP="007E789F">
            <w:pPr>
              <w:spacing w:after="0" w:line="240" w:lineRule="auto"/>
              <w:ind w:left="20"/>
              <w:contextualSpacing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</w:rPr>
              <w:t xml:space="preserve">PhD </w:t>
            </w:r>
            <w:r w:rsidRPr="007E789F">
              <w:rPr>
                <w:sz w:val="20"/>
                <w:szCs w:val="20"/>
                <w:lang w:val="ru-RU"/>
              </w:rPr>
              <w:t>№00022395534 от 16.02.2022г. (приказ №72)</w:t>
            </w:r>
          </w:p>
          <w:p w14:paraId="63F4E8F4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1E0F" w:rsidRPr="007E789F" w14:paraId="22F99B6E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C72E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C00B6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7E789F">
              <w:rPr>
                <w:color w:val="000000"/>
                <w:sz w:val="20"/>
                <w:szCs w:val="20"/>
              </w:rPr>
              <w:t>Ученое</w:t>
            </w:r>
            <w:proofErr w:type="spellEnd"/>
            <w:r w:rsidRPr="007E78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89F">
              <w:rPr>
                <w:color w:val="000000"/>
                <w:sz w:val="20"/>
                <w:szCs w:val="20"/>
              </w:rPr>
              <w:t>звание</w:t>
            </w:r>
            <w:proofErr w:type="spellEnd"/>
            <w:r w:rsidRPr="007E789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789F">
              <w:rPr>
                <w:color w:val="000000"/>
                <w:sz w:val="20"/>
                <w:szCs w:val="20"/>
              </w:rPr>
              <w:t>дата</w:t>
            </w:r>
            <w:proofErr w:type="spellEnd"/>
            <w:r w:rsidRPr="007E78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89F">
              <w:rPr>
                <w:color w:val="000000"/>
                <w:sz w:val="20"/>
                <w:szCs w:val="20"/>
              </w:rPr>
              <w:t>присуждения</w:t>
            </w:r>
            <w:proofErr w:type="spellEnd"/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0728" w14:textId="0F65D67E" w:rsidR="005A1E0F" w:rsidRPr="007E789F" w:rsidRDefault="00A40D9E" w:rsidP="007E789F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>-</w:t>
            </w:r>
          </w:p>
          <w:p w14:paraId="6963567B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A1E0F" w:rsidRPr="007E789F" w14:paraId="59AED1F4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9045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8195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7E789F">
              <w:rPr>
                <w:color w:val="000000"/>
                <w:sz w:val="20"/>
                <w:szCs w:val="20"/>
              </w:rPr>
              <w:t>Почетное</w:t>
            </w:r>
            <w:proofErr w:type="spellEnd"/>
            <w:r w:rsidRPr="007E78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89F">
              <w:rPr>
                <w:color w:val="000000"/>
                <w:sz w:val="20"/>
                <w:szCs w:val="20"/>
              </w:rPr>
              <w:t>звание</w:t>
            </w:r>
            <w:proofErr w:type="spellEnd"/>
            <w:r w:rsidRPr="007E789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789F">
              <w:rPr>
                <w:color w:val="000000"/>
                <w:sz w:val="20"/>
                <w:szCs w:val="20"/>
              </w:rPr>
              <w:t>дата</w:t>
            </w:r>
            <w:proofErr w:type="spellEnd"/>
            <w:r w:rsidRPr="007E78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89F">
              <w:rPr>
                <w:color w:val="000000"/>
                <w:sz w:val="20"/>
                <w:szCs w:val="20"/>
              </w:rPr>
              <w:t>присуждения</w:t>
            </w:r>
            <w:proofErr w:type="spellEnd"/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F4CA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</w:rPr>
            </w:pPr>
          </w:p>
          <w:p w14:paraId="7035C40B" w14:textId="50E25BA4" w:rsidR="005A1E0F" w:rsidRPr="007E789F" w:rsidRDefault="00A40D9E" w:rsidP="007E789F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>-</w:t>
            </w:r>
          </w:p>
        </w:tc>
      </w:tr>
      <w:tr w:rsidR="005A1E0F" w:rsidRPr="007E789F" w14:paraId="78D38207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7681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3E5D1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99AD" w14:textId="22E74DEE" w:rsidR="00BA2E56" w:rsidRPr="007E789F" w:rsidRDefault="00BA2E56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01.09.2004г.</w:t>
            </w:r>
            <w:r w:rsidRPr="007E789F">
              <w:rPr>
                <w:sz w:val="20"/>
                <w:szCs w:val="20"/>
                <w:lang w:val="ru-RU"/>
              </w:rPr>
              <w:t xml:space="preserve"> – принята преподавателем кафедры </w:t>
            </w:r>
            <w:r w:rsidR="00430E5C" w:rsidRPr="007E789F">
              <w:rPr>
                <w:sz w:val="20"/>
                <w:szCs w:val="20"/>
                <w:lang w:val="ru-RU"/>
              </w:rPr>
              <w:t>финансов и кредита</w:t>
            </w:r>
            <w:r w:rsidRPr="007E789F">
              <w:rPr>
                <w:sz w:val="20"/>
                <w:szCs w:val="20"/>
                <w:lang w:val="ru-RU"/>
              </w:rPr>
              <w:t xml:space="preserve">, КГУ им. А.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(приказ №ЛС-78 от 03.09.2004г.)</w:t>
            </w:r>
          </w:p>
          <w:p w14:paraId="49B8E6E4" w14:textId="057FC69A" w:rsidR="00430E5C" w:rsidRPr="007E789F" w:rsidRDefault="00430E5C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01.09.2006</w:t>
            </w:r>
            <w:r w:rsidRPr="007E789F">
              <w:rPr>
                <w:sz w:val="20"/>
                <w:szCs w:val="20"/>
                <w:lang w:val="ru-RU"/>
              </w:rPr>
              <w:t xml:space="preserve"> – переведена на должность старшего преподавателя кафедры финансов и кредита, КГУ им. А.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(приказ №ЛС-72 от 01.09.2006г.)</w:t>
            </w:r>
          </w:p>
          <w:p w14:paraId="2EAA8B60" w14:textId="78EA8744" w:rsidR="00430E5C" w:rsidRPr="007E789F" w:rsidRDefault="00430E5C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01.09.2011г.</w:t>
            </w:r>
            <w:r w:rsidRPr="007E789F">
              <w:rPr>
                <w:sz w:val="20"/>
                <w:szCs w:val="20"/>
                <w:lang w:val="ru-RU"/>
              </w:rPr>
              <w:t xml:space="preserve"> – переведена старшим преподавателем кафедры финансов и банковского дела, КГУ им. А.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(приказ №ЛС-129 от 01.09.2011г.)</w:t>
            </w:r>
          </w:p>
          <w:p w14:paraId="66E2B95E" w14:textId="25B4EB94" w:rsidR="00BA2E56" w:rsidRPr="007E789F" w:rsidRDefault="00430E5C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02.09.2013г.</w:t>
            </w:r>
            <w:r w:rsidRPr="007E789F">
              <w:rPr>
                <w:sz w:val="20"/>
                <w:szCs w:val="20"/>
                <w:lang w:val="ru-RU"/>
              </w:rPr>
              <w:t xml:space="preserve"> – принята на должность старшего преподавателя кафедры экономики и менеджмента, АЭСА (приказ №307 л/с от 29.08.2013г.)</w:t>
            </w:r>
          </w:p>
          <w:p w14:paraId="28BE65A2" w14:textId="54CC3BB9" w:rsidR="00430E5C" w:rsidRPr="007E789F" w:rsidRDefault="00430E5C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01.09.2014г.</w:t>
            </w:r>
            <w:r w:rsidRPr="007E789F">
              <w:rPr>
                <w:sz w:val="20"/>
                <w:szCs w:val="20"/>
                <w:lang w:val="ru-RU"/>
              </w:rPr>
              <w:t xml:space="preserve"> – принята на должность старшего преподавателя кафедры «Государственное регулирование экономики»,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КазЭУ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им. Т. Рыскулова (приказ №12-01-02/301 от 02.09.2014г.)</w:t>
            </w:r>
          </w:p>
          <w:p w14:paraId="3A1C13CE" w14:textId="1BEE41CC" w:rsidR="00430E5C" w:rsidRPr="007E789F" w:rsidRDefault="00430E5C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25.08.2016г.</w:t>
            </w:r>
            <w:r w:rsidRPr="007E789F">
              <w:rPr>
                <w:sz w:val="20"/>
                <w:szCs w:val="20"/>
                <w:lang w:val="ru-RU"/>
              </w:rPr>
              <w:t xml:space="preserve"> – зачислена в очную докторантуру </w:t>
            </w:r>
            <w:r w:rsidRPr="007E789F">
              <w:rPr>
                <w:sz w:val="20"/>
                <w:szCs w:val="20"/>
              </w:rPr>
              <w:t>PhD</w:t>
            </w:r>
            <w:r w:rsidRPr="007E789F">
              <w:rPr>
                <w:sz w:val="20"/>
                <w:szCs w:val="20"/>
                <w:lang w:val="ru-RU"/>
              </w:rPr>
              <w:t xml:space="preserve"> Университета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Нархоз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по специальности 6</w:t>
            </w:r>
            <w:r w:rsidRPr="007E789F">
              <w:rPr>
                <w:sz w:val="20"/>
                <w:szCs w:val="20"/>
              </w:rPr>
              <w:t>D</w:t>
            </w:r>
            <w:r w:rsidRPr="007E789F">
              <w:rPr>
                <w:sz w:val="20"/>
                <w:szCs w:val="20"/>
                <w:lang w:val="ru-RU"/>
              </w:rPr>
              <w:t>051000 – Государственное и местное управление</w:t>
            </w:r>
          </w:p>
          <w:p w14:paraId="1E5EF180" w14:textId="7A04611E" w:rsidR="00430E5C" w:rsidRPr="007E789F" w:rsidRDefault="00430E5C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02.09.2019г</w:t>
            </w:r>
            <w:r w:rsidRPr="007E789F">
              <w:rPr>
                <w:sz w:val="20"/>
                <w:szCs w:val="20"/>
                <w:lang w:val="ru-RU"/>
              </w:rPr>
              <w:t xml:space="preserve">. – принята на должность старшего преподавателя кафедры экономики и менеджмент, КИНЭУ им. М.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Дулатова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(приказ №210 л/с от 02.09.2019г.)</w:t>
            </w:r>
          </w:p>
          <w:p w14:paraId="70944A2E" w14:textId="4DA1BF24" w:rsidR="005A1E0F" w:rsidRPr="007E789F" w:rsidRDefault="00A40D9E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11.04.2022г.</w:t>
            </w:r>
            <w:r w:rsidRPr="007E789F">
              <w:rPr>
                <w:sz w:val="20"/>
                <w:szCs w:val="20"/>
                <w:lang w:val="ru-RU"/>
              </w:rPr>
              <w:t xml:space="preserve"> – ст. преподаватель кафедры «Менеджмент» </w:t>
            </w:r>
            <w:proofErr w:type="spellStart"/>
            <w:r w:rsidRPr="007E789F">
              <w:rPr>
                <w:sz w:val="20"/>
                <w:szCs w:val="20"/>
              </w:rPr>
              <w:t>Esil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</w:t>
            </w:r>
            <w:r w:rsidRPr="007E789F">
              <w:rPr>
                <w:sz w:val="20"/>
                <w:szCs w:val="20"/>
              </w:rPr>
              <w:t>University</w:t>
            </w:r>
            <w:r w:rsidRPr="007E789F">
              <w:rPr>
                <w:sz w:val="20"/>
                <w:szCs w:val="20"/>
                <w:lang w:val="ru-RU"/>
              </w:rPr>
              <w:t xml:space="preserve"> (</w:t>
            </w:r>
            <w:r w:rsidRPr="007E789F">
              <w:rPr>
                <w:sz w:val="20"/>
                <w:szCs w:val="20"/>
                <w:lang w:val="kk-KZ"/>
              </w:rPr>
              <w:t xml:space="preserve">приказ </w:t>
            </w:r>
            <w:r w:rsidRPr="007E789F">
              <w:rPr>
                <w:sz w:val="20"/>
                <w:szCs w:val="20"/>
                <w:lang w:val="ru-RU"/>
              </w:rPr>
              <w:t>№01-30/190 от 11.04.2022г.)</w:t>
            </w:r>
          </w:p>
          <w:p w14:paraId="03EEBCF4" w14:textId="48AC1DDD" w:rsidR="005A1E0F" w:rsidRPr="007E789F" w:rsidRDefault="00BA2E56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01.09.2022г.</w:t>
            </w:r>
            <w:r w:rsidRPr="007E789F">
              <w:rPr>
                <w:sz w:val="20"/>
                <w:szCs w:val="20"/>
                <w:lang w:val="ru-RU"/>
              </w:rPr>
              <w:t xml:space="preserve"> – избрана по конкурсу на должность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и.о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>. доцента кафедры «Менеджмент» со сроком на 3 года (приказ №01-29/77 от 31.08.2022г.)</w:t>
            </w:r>
          </w:p>
        </w:tc>
      </w:tr>
      <w:tr w:rsidR="005A1E0F" w:rsidRPr="007E789F" w14:paraId="4537B39A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38E2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1723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55CF" w14:textId="30BF8126" w:rsidR="005A1E0F" w:rsidRPr="007E789F" w:rsidRDefault="005A1E0F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 xml:space="preserve">Всего </w:t>
            </w:r>
            <w:r w:rsidR="00100B6C" w:rsidRPr="007E789F">
              <w:rPr>
                <w:b/>
                <w:bCs/>
                <w:color w:val="000000"/>
                <w:sz w:val="20"/>
                <w:szCs w:val="20"/>
                <w:lang w:val="ru-RU"/>
              </w:rPr>
              <w:t>20</w:t>
            </w:r>
            <w:r w:rsidR="00100B6C" w:rsidRPr="007E789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>лет, в том числе</w:t>
            </w:r>
            <w:r w:rsidR="00AD7DFB" w:rsidRPr="007E789F">
              <w:rPr>
                <w:color w:val="000000"/>
                <w:sz w:val="20"/>
                <w:szCs w:val="20"/>
                <w:lang w:val="ru-RU"/>
              </w:rPr>
              <w:t xml:space="preserve"> научно-педагогический стаж – </w:t>
            </w:r>
            <w:r w:rsidR="00AD7DFB" w:rsidRPr="007E789F">
              <w:rPr>
                <w:b/>
                <w:bCs/>
                <w:color w:val="000000"/>
                <w:sz w:val="20"/>
                <w:szCs w:val="20"/>
                <w:lang w:val="ru-RU"/>
              </w:rPr>
              <w:t>20</w:t>
            </w:r>
            <w:r w:rsidR="00AD7DFB" w:rsidRPr="007E789F">
              <w:rPr>
                <w:color w:val="000000"/>
                <w:sz w:val="20"/>
                <w:szCs w:val="20"/>
                <w:lang w:val="ru-RU"/>
              </w:rPr>
              <w:t xml:space="preserve"> лет, из них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 xml:space="preserve"> в должности </w:t>
            </w:r>
            <w:proofErr w:type="spellStart"/>
            <w:r w:rsidR="00100B6C" w:rsidRPr="007E789F">
              <w:rPr>
                <w:color w:val="000000"/>
                <w:sz w:val="20"/>
                <w:szCs w:val="20"/>
                <w:lang w:val="ru-RU"/>
              </w:rPr>
              <w:t>и.о</w:t>
            </w:r>
            <w:proofErr w:type="spellEnd"/>
            <w:r w:rsidR="00100B6C" w:rsidRPr="007E789F">
              <w:rPr>
                <w:color w:val="000000"/>
                <w:sz w:val="20"/>
                <w:szCs w:val="20"/>
                <w:lang w:val="ru-RU"/>
              </w:rPr>
              <w:t xml:space="preserve">. доцента </w:t>
            </w:r>
            <w:r w:rsidR="00100B6C" w:rsidRPr="007E789F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  <w:r w:rsidR="00100B6C" w:rsidRPr="007E789F">
              <w:rPr>
                <w:color w:val="000000"/>
                <w:sz w:val="20"/>
                <w:szCs w:val="20"/>
                <w:lang w:val="ru-RU"/>
              </w:rPr>
              <w:t xml:space="preserve"> года, продолжает работать по настоящее время в должности доцента</w:t>
            </w:r>
          </w:p>
        </w:tc>
      </w:tr>
      <w:tr w:rsidR="005A1E0F" w:rsidRPr="007E789F" w14:paraId="2E9BE2FE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E6C7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0CE0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CA23" w14:textId="71B1D5B4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 xml:space="preserve">Всего </w:t>
            </w:r>
            <w:r w:rsidR="00AD7DFB" w:rsidRPr="007E789F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="00AD7DFB" w:rsidRPr="007E789F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  <w:r w:rsidR="004C66DD" w:rsidRPr="007E789F"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>,</w:t>
            </w:r>
            <w:r w:rsidR="00AD7DFB" w:rsidRPr="007E789F">
              <w:rPr>
                <w:color w:val="000000"/>
                <w:sz w:val="20"/>
                <w:szCs w:val="20"/>
                <w:lang w:val="ru-RU"/>
              </w:rPr>
              <w:t xml:space="preserve"> в том числе:</w:t>
            </w:r>
          </w:p>
          <w:p w14:paraId="3B10759C" w14:textId="6CDB5AEF" w:rsidR="005A1E0F" w:rsidRPr="007E789F" w:rsidRDefault="00AD7DFB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Pr="007E789F">
              <w:rPr>
                <w:b/>
                <w:bCs/>
                <w:color w:val="000000"/>
                <w:sz w:val="20"/>
                <w:szCs w:val="20"/>
                <w:lang w:val="ru-RU"/>
              </w:rPr>
              <w:t>16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 xml:space="preserve"> научных статей, </w:t>
            </w:r>
            <w:r w:rsidR="005A1E0F" w:rsidRPr="007E789F">
              <w:rPr>
                <w:color w:val="000000"/>
                <w:sz w:val="20"/>
                <w:szCs w:val="20"/>
                <w:lang w:val="ru-RU"/>
              </w:rPr>
              <w:t>в изданиях рекомендуемых уполномоченным органом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14:paraId="017CB3CC" w14:textId="4C7D33C2" w:rsidR="005A1E0F" w:rsidRPr="007E789F" w:rsidRDefault="00AD7DFB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Pr="007E789F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2 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 xml:space="preserve">научные статьи, </w:t>
            </w:r>
            <w:r w:rsidR="005A1E0F" w:rsidRPr="007E789F">
              <w:rPr>
                <w:color w:val="000000"/>
                <w:sz w:val="20"/>
                <w:szCs w:val="20"/>
                <w:lang w:val="ru-RU"/>
              </w:rPr>
              <w:t>в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 xml:space="preserve"> международных </w:t>
            </w:r>
            <w:r w:rsidR="00E7388C" w:rsidRPr="007E789F">
              <w:rPr>
                <w:color w:val="000000"/>
                <w:sz w:val="20"/>
                <w:szCs w:val="20"/>
                <w:lang w:val="ru-RU"/>
              </w:rPr>
              <w:t>рецензируемых</w:t>
            </w:r>
            <w:r w:rsidR="005A1E0F" w:rsidRPr="007E789F">
              <w:rPr>
                <w:color w:val="000000"/>
                <w:sz w:val="20"/>
                <w:szCs w:val="20"/>
                <w:lang w:val="ru-RU"/>
              </w:rPr>
              <w:t xml:space="preserve"> научных журналах, входящих в базы </w:t>
            </w:r>
            <w:r w:rsidR="005A1E0F" w:rsidRPr="007E789F">
              <w:rPr>
                <w:color w:val="000000"/>
                <w:sz w:val="20"/>
                <w:szCs w:val="20"/>
              </w:rPr>
              <w:t>Scopus</w:t>
            </w:r>
            <w:r w:rsidR="005A1E0F" w:rsidRPr="007E789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E7388C" w:rsidRPr="007E789F">
              <w:rPr>
                <w:color w:val="000000"/>
                <w:sz w:val="20"/>
                <w:szCs w:val="20"/>
                <w:lang w:val="ru-RU"/>
              </w:rPr>
              <w:t xml:space="preserve">с показателем </w:t>
            </w:r>
            <w:proofErr w:type="spellStart"/>
            <w:r w:rsidR="00E7388C" w:rsidRPr="007E789F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="00E7388C" w:rsidRPr="007E789F">
              <w:rPr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E7388C" w:rsidRPr="007E789F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="00E7388C" w:rsidRPr="007E789F">
              <w:rPr>
                <w:color w:val="000000"/>
                <w:sz w:val="20"/>
                <w:szCs w:val="20"/>
                <w:lang w:val="ru-RU"/>
              </w:rPr>
              <w:t xml:space="preserve"> выше 35;</w:t>
            </w:r>
          </w:p>
          <w:p w14:paraId="280A4F96" w14:textId="5E66EEA8" w:rsidR="005A1E0F" w:rsidRPr="007E789F" w:rsidRDefault="00E7388C" w:rsidP="007E789F">
            <w:pPr>
              <w:spacing w:after="0" w:line="240" w:lineRule="auto"/>
              <w:ind w:left="20" w:right="13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 xml:space="preserve">- </w:t>
            </w:r>
            <w:r w:rsidR="004C66DD" w:rsidRPr="007E789F"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7E789F">
              <w:rPr>
                <w:sz w:val="20"/>
                <w:szCs w:val="20"/>
                <w:lang w:val="ru-RU"/>
              </w:rPr>
              <w:t xml:space="preserve"> научные статьи в материалах международных научно-практических конференциях.</w:t>
            </w:r>
          </w:p>
        </w:tc>
      </w:tr>
      <w:tr w:rsidR="005A1E0F" w:rsidRPr="007E789F" w14:paraId="79ACFC25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03C7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AECA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5424" w14:textId="441A4B3F" w:rsidR="005A1E0F" w:rsidRPr="007E789F" w:rsidRDefault="00100B6C" w:rsidP="007E789F">
            <w:pPr>
              <w:spacing w:after="0" w:line="240" w:lineRule="auto"/>
              <w:ind w:left="132"/>
              <w:contextualSpacing/>
              <w:rPr>
                <w:sz w:val="20"/>
                <w:szCs w:val="20"/>
                <w:lang w:val="ru-RU"/>
              </w:rPr>
            </w:pPr>
            <w:r w:rsidRPr="007E789F"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7E789F">
              <w:rPr>
                <w:sz w:val="20"/>
                <w:szCs w:val="20"/>
                <w:lang w:val="ru-RU"/>
              </w:rPr>
              <w:t xml:space="preserve"> </w:t>
            </w:r>
            <w:r w:rsidR="007E789F">
              <w:rPr>
                <w:sz w:val="20"/>
                <w:szCs w:val="20"/>
                <w:lang w:val="ru-RU"/>
              </w:rPr>
              <w:t>–</w:t>
            </w:r>
            <w:r w:rsidRPr="007E789F">
              <w:rPr>
                <w:sz w:val="20"/>
                <w:szCs w:val="20"/>
                <w:lang w:val="ru-RU"/>
              </w:rPr>
              <w:t xml:space="preserve"> единоличная</w:t>
            </w:r>
            <w:r w:rsidR="007E789F">
              <w:rPr>
                <w:sz w:val="20"/>
                <w:szCs w:val="20"/>
                <w:lang w:val="ru-RU"/>
              </w:rPr>
              <w:t xml:space="preserve"> монография</w:t>
            </w:r>
          </w:p>
          <w:p w14:paraId="2D538F4B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1E0F" w:rsidRPr="007E789F" w14:paraId="5AE72089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217B7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C67B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7E789F">
              <w:rPr>
                <w:color w:val="000000"/>
                <w:sz w:val="20"/>
                <w:szCs w:val="20"/>
              </w:rPr>
              <w:t>PhD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7E789F">
              <w:rPr>
                <w:color w:val="000000"/>
                <w:sz w:val="20"/>
                <w:szCs w:val="20"/>
              </w:rPr>
              <w:t>PhD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7E789F">
              <w:rPr>
                <w:color w:val="000000"/>
                <w:sz w:val="20"/>
                <w:szCs w:val="20"/>
              </w:rPr>
              <w:t>PhD</w:t>
            </w:r>
            <w:r w:rsidRPr="007E789F">
              <w:rPr>
                <w:color w:val="000000"/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F5864" w14:textId="115638FE" w:rsidR="005A1E0F" w:rsidRPr="007E789F" w:rsidRDefault="00100B6C" w:rsidP="007E789F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>-</w:t>
            </w:r>
          </w:p>
          <w:p w14:paraId="228EC9F9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1E0F" w:rsidRPr="007E789F" w14:paraId="071511CD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01C1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84F16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D024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14:paraId="70D3C40D" w14:textId="171F234F" w:rsidR="005A1E0F" w:rsidRPr="007E789F" w:rsidRDefault="007E789F" w:rsidP="007E789F">
            <w:pPr>
              <w:spacing w:after="0" w:line="240" w:lineRule="auto"/>
              <w:ind w:left="132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-</w:t>
            </w:r>
          </w:p>
        </w:tc>
      </w:tr>
      <w:tr w:rsidR="005A1E0F" w:rsidRPr="007E789F" w14:paraId="5C982E51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8850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50A9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36F0" w14:textId="0CC6AF1A" w:rsidR="005A1E0F" w:rsidRPr="007E789F" w:rsidRDefault="00100B6C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 xml:space="preserve">- </w:t>
            </w:r>
          </w:p>
          <w:p w14:paraId="2D818355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1E0F" w:rsidRPr="007E789F" w14:paraId="66137FAC" w14:textId="77777777" w:rsidTr="00A40D9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BC7B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r w:rsidRPr="007E78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9979" w14:textId="77777777" w:rsidR="005A1E0F" w:rsidRPr="007E789F" w:rsidRDefault="005A1E0F" w:rsidP="007E789F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7E789F">
              <w:rPr>
                <w:color w:val="000000"/>
                <w:sz w:val="20"/>
                <w:szCs w:val="20"/>
              </w:rPr>
              <w:t>Дополнительная</w:t>
            </w:r>
            <w:proofErr w:type="spellEnd"/>
            <w:r w:rsidRPr="007E78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89F">
              <w:rPr>
                <w:color w:val="000000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6B00" w14:textId="77777777" w:rsidR="005A1E0F" w:rsidRPr="007E789F" w:rsidRDefault="00100B6C" w:rsidP="007E789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30"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 xml:space="preserve">Индекс цитируемости (индекс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Хирша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>)  - 2</w:t>
            </w:r>
          </w:p>
          <w:p w14:paraId="4376B309" w14:textId="1B6DF8D1" w:rsidR="00100B6C" w:rsidRPr="007E789F" w:rsidRDefault="00037079" w:rsidP="007E789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30"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>Руководитель научного проекта грантового финансирования молодых ученых «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Жас-галым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>» на 2022-2024 гг. (ИРН АР14972672 «Совершенствовани</w:t>
            </w:r>
            <w:bookmarkStart w:id="1" w:name="_GoBack"/>
            <w:bookmarkEnd w:id="1"/>
            <w:r w:rsidRPr="007E789F">
              <w:rPr>
                <w:sz w:val="20"/>
                <w:szCs w:val="20"/>
                <w:lang w:val="ru-RU"/>
              </w:rPr>
              <w:t>е эффективности управления объектов государственной собственности в посткризисных условиях»)</w:t>
            </w:r>
          </w:p>
          <w:p w14:paraId="438E9FB1" w14:textId="77777777" w:rsidR="007E789F" w:rsidRDefault="00D20D04" w:rsidP="007E78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 xml:space="preserve">Имеет </w:t>
            </w:r>
            <w:r w:rsidR="007E789F">
              <w:rPr>
                <w:sz w:val="20"/>
                <w:szCs w:val="20"/>
                <w:lang w:val="ru-RU"/>
              </w:rPr>
              <w:t>1</w:t>
            </w:r>
            <w:r w:rsidRPr="007E789F">
              <w:rPr>
                <w:sz w:val="20"/>
                <w:szCs w:val="20"/>
                <w:lang w:val="ru-RU"/>
              </w:rPr>
              <w:t xml:space="preserve"> учебн</w:t>
            </w:r>
            <w:r w:rsidR="007E789F">
              <w:rPr>
                <w:sz w:val="20"/>
                <w:szCs w:val="20"/>
                <w:lang w:val="ru-RU"/>
              </w:rPr>
              <w:t>ое</w:t>
            </w:r>
            <w:r w:rsidRPr="007E789F">
              <w:rPr>
                <w:sz w:val="20"/>
                <w:szCs w:val="20"/>
                <w:lang w:val="ru-RU"/>
              </w:rPr>
              <w:t xml:space="preserve"> пособи</w:t>
            </w:r>
            <w:r w:rsidR="007E789F">
              <w:rPr>
                <w:sz w:val="20"/>
                <w:szCs w:val="20"/>
                <w:lang w:val="ru-RU"/>
              </w:rPr>
              <w:t>е</w:t>
            </w:r>
            <w:r w:rsidRPr="007E789F">
              <w:rPr>
                <w:sz w:val="20"/>
                <w:szCs w:val="20"/>
                <w:lang w:val="ru-RU"/>
              </w:rPr>
              <w:t xml:space="preserve">  в соавторстве</w:t>
            </w:r>
          </w:p>
          <w:p w14:paraId="589AC1A5" w14:textId="5ECB3B20" w:rsidR="00037079" w:rsidRPr="007E789F" w:rsidRDefault="007E789F" w:rsidP="007E78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Имеет</w:t>
            </w:r>
            <w:r w:rsidR="00D20D04" w:rsidRPr="007E789F">
              <w:rPr>
                <w:sz w:val="20"/>
                <w:szCs w:val="20"/>
                <w:lang w:val="ru-RU"/>
              </w:rPr>
              <w:t xml:space="preserve"> 4 авторских свидетельства</w:t>
            </w:r>
          </w:p>
          <w:p w14:paraId="6F80A9D5" w14:textId="7E56F362" w:rsidR="00D20D04" w:rsidRPr="007E789F" w:rsidRDefault="00975A59" w:rsidP="007E78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>в</w:t>
            </w:r>
            <w:r w:rsidR="00D20D04" w:rsidRPr="007E789F">
              <w:rPr>
                <w:sz w:val="20"/>
                <w:szCs w:val="20"/>
                <w:lang w:val="ru-RU"/>
              </w:rPr>
              <w:t xml:space="preserve"> 2020 году </w:t>
            </w:r>
            <w:r w:rsidRPr="007E789F">
              <w:rPr>
                <w:sz w:val="20"/>
                <w:szCs w:val="20"/>
                <w:lang w:val="ru-RU"/>
              </w:rPr>
              <w:t xml:space="preserve">Почетная грамота министра МОН РК </w:t>
            </w:r>
            <w:proofErr w:type="spellStart"/>
            <w:r w:rsidRPr="007E789F">
              <w:rPr>
                <w:sz w:val="20"/>
                <w:szCs w:val="20"/>
                <w:lang w:val="ru-RU"/>
              </w:rPr>
              <w:t>Аймагамбетова</w:t>
            </w:r>
            <w:proofErr w:type="spellEnd"/>
            <w:r w:rsidRPr="007E789F">
              <w:rPr>
                <w:sz w:val="20"/>
                <w:szCs w:val="20"/>
                <w:lang w:val="ru-RU"/>
              </w:rPr>
              <w:t xml:space="preserve"> А.А.</w:t>
            </w:r>
            <w:r w:rsidR="007E789F">
              <w:rPr>
                <w:sz w:val="20"/>
                <w:szCs w:val="20"/>
                <w:lang w:val="ru-RU"/>
              </w:rPr>
              <w:t>, №0136</w:t>
            </w:r>
          </w:p>
          <w:p w14:paraId="7AFD64DE" w14:textId="046EB80E" w:rsidR="00975A59" w:rsidRPr="007E789F" w:rsidRDefault="00975A59" w:rsidP="007E78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789F">
              <w:rPr>
                <w:sz w:val="20"/>
                <w:szCs w:val="20"/>
                <w:lang w:val="ru-RU"/>
              </w:rPr>
              <w:t xml:space="preserve">в 2024 году </w:t>
            </w:r>
            <w:r w:rsidR="007E789F">
              <w:rPr>
                <w:sz w:val="20"/>
                <w:szCs w:val="20"/>
                <w:lang w:val="ru-RU"/>
              </w:rPr>
              <w:t>«</w:t>
            </w:r>
            <w:r w:rsidRPr="007E789F">
              <w:rPr>
                <w:sz w:val="20"/>
                <w:szCs w:val="20"/>
                <w:lang w:val="kk-KZ"/>
              </w:rPr>
              <w:t>Құрмет дипломы  «Ғылым үздігі» МНВО РК</w:t>
            </w:r>
            <w:r w:rsidR="007E789F">
              <w:rPr>
                <w:sz w:val="20"/>
                <w:szCs w:val="20"/>
                <w:lang w:val="kk-KZ"/>
              </w:rPr>
              <w:t>, №0075</w:t>
            </w:r>
            <w:r w:rsidRPr="007E789F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254FA074" w14:textId="77777777" w:rsidR="00EC620F" w:rsidRPr="007E789F" w:rsidRDefault="005A1E0F" w:rsidP="007E789F">
      <w:pPr>
        <w:spacing w:after="0" w:line="240" w:lineRule="auto"/>
        <w:contextualSpacing/>
        <w:jc w:val="both"/>
        <w:rPr>
          <w:color w:val="000000"/>
          <w:sz w:val="24"/>
          <w:szCs w:val="24"/>
          <w:lang w:val="ru-RU"/>
        </w:rPr>
      </w:pPr>
      <w:r w:rsidRPr="007E789F">
        <w:rPr>
          <w:color w:val="000000"/>
          <w:sz w:val="24"/>
          <w:szCs w:val="24"/>
        </w:rPr>
        <w:t>    </w:t>
      </w:r>
    </w:p>
    <w:p w14:paraId="49F38EA8" w14:textId="77777777" w:rsidR="00EC620F" w:rsidRPr="007E789F" w:rsidRDefault="00EC620F" w:rsidP="007E789F">
      <w:pPr>
        <w:spacing w:after="0" w:line="240" w:lineRule="auto"/>
        <w:ind w:left="709"/>
        <w:contextualSpacing/>
        <w:jc w:val="both"/>
        <w:rPr>
          <w:color w:val="000000"/>
          <w:sz w:val="24"/>
          <w:szCs w:val="24"/>
          <w:lang w:val="kk-KZ"/>
        </w:rPr>
      </w:pPr>
      <w:r w:rsidRPr="007E789F">
        <w:rPr>
          <w:color w:val="000000"/>
          <w:sz w:val="24"/>
          <w:szCs w:val="24"/>
          <w:lang w:val="kk-KZ"/>
        </w:rPr>
        <w:t xml:space="preserve">Заведующий кафедрой </w:t>
      </w:r>
    </w:p>
    <w:p w14:paraId="6C9A77B4" w14:textId="00474A21" w:rsidR="00EC620F" w:rsidRPr="007E789F" w:rsidRDefault="00EC620F" w:rsidP="007E789F">
      <w:pPr>
        <w:spacing w:after="0" w:line="240" w:lineRule="auto"/>
        <w:ind w:left="709"/>
        <w:contextualSpacing/>
        <w:jc w:val="both"/>
        <w:rPr>
          <w:color w:val="000000"/>
          <w:sz w:val="24"/>
          <w:szCs w:val="24"/>
          <w:lang w:val="kk-KZ"/>
        </w:rPr>
      </w:pPr>
      <w:r w:rsidRPr="007E789F">
        <w:rPr>
          <w:color w:val="000000"/>
          <w:sz w:val="24"/>
          <w:szCs w:val="24"/>
          <w:lang w:val="kk-KZ"/>
        </w:rPr>
        <w:t xml:space="preserve">«Менеджмент», </w:t>
      </w:r>
    </w:p>
    <w:p w14:paraId="658929E1" w14:textId="4ED0C990" w:rsidR="00EC620F" w:rsidRPr="007E789F" w:rsidRDefault="00EC620F" w:rsidP="007E789F">
      <w:pPr>
        <w:spacing w:after="0" w:line="240" w:lineRule="auto"/>
        <w:ind w:left="709"/>
        <w:contextualSpacing/>
        <w:jc w:val="both"/>
        <w:rPr>
          <w:color w:val="000000"/>
          <w:sz w:val="24"/>
          <w:szCs w:val="24"/>
          <w:lang w:val="ru-RU"/>
        </w:rPr>
      </w:pPr>
      <w:r w:rsidRPr="007E789F">
        <w:rPr>
          <w:color w:val="000000"/>
          <w:sz w:val="24"/>
          <w:szCs w:val="24"/>
        </w:rPr>
        <w:t>PhD</w:t>
      </w:r>
      <w:r w:rsidRPr="007E789F">
        <w:rPr>
          <w:color w:val="000000"/>
          <w:sz w:val="24"/>
          <w:szCs w:val="24"/>
          <w:lang w:val="ru-RU"/>
        </w:rPr>
        <w:tab/>
      </w:r>
      <w:r w:rsidRPr="007E789F">
        <w:rPr>
          <w:color w:val="000000"/>
          <w:sz w:val="24"/>
          <w:szCs w:val="24"/>
          <w:lang w:val="ru-RU"/>
        </w:rPr>
        <w:tab/>
      </w:r>
      <w:r w:rsidRPr="007E789F">
        <w:rPr>
          <w:color w:val="000000"/>
          <w:sz w:val="24"/>
          <w:szCs w:val="24"/>
          <w:lang w:val="ru-RU"/>
        </w:rPr>
        <w:tab/>
      </w:r>
      <w:r w:rsidRPr="007E789F">
        <w:rPr>
          <w:color w:val="000000"/>
          <w:sz w:val="24"/>
          <w:szCs w:val="24"/>
          <w:lang w:val="ru-RU"/>
        </w:rPr>
        <w:tab/>
      </w:r>
      <w:r w:rsidRPr="007E789F">
        <w:rPr>
          <w:color w:val="000000"/>
          <w:sz w:val="24"/>
          <w:szCs w:val="24"/>
          <w:lang w:val="ru-RU"/>
        </w:rPr>
        <w:tab/>
      </w:r>
      <w:r w:rsidRPr="007E789F">
        <w:rPr>
          <w:color w:val="000000"/>
          <w:sz w:val="24"/>
          <w:szCs w:val="24"/>
          <w:lang w:val="ru-RU"/>
        </w:rPr>
        <w:tab/>
      </w:r>
      <w:r w:rsidRPr="007E789F">
        <w:rPr>
          <w:color w:val="000000"/>
          <w:sz w:val="24"/>
          <w:szCs w:val="24"/>
          <w:lang w:val="ru-RU"/>
        </w:rPr>
        <w:tab/>
      </w:r>
      <w:r w:rsidRPr="007E789F">
        <w:rPr>
          <w:color w:val="000000"/>
          <w:sz w:val="24"/>
          <w:szCs w:val="24"/>
          <w:lang w:val="ru-RU"/>
        </w:rPr>
        <w:tab/>
      </w:r>
      <w:r w:rsidRPr="007E789F">
        <w:rPr>
          <w:color w:val="000000"/>
          <w:sz w:val="24"/>
          <w:szCs w:val="24"/>
          <w:lang w:val="ru-RU"/>
        </w:rPr>
        <w:tab/>
      </w:r>
      <w:proofErr w:type="spellStart"/>
      <w:r w:rsidRPr="007E789F">
        <w:rPr>
          <w:color w:val="000000"/>
          <w:sz w:val="24"/>
          <w:szCs w:val="24"/>
          <w:lang w:val="ru-RU"/>
        </w:rPr>
        <w:t>Байгиреева</w:t>
      </w:r>
      <w:proofErr w:type="spellEnd"/>
      <w:r w:rsidRPr="007E789F">
        <w:rPr>
          <w:color w:val="000000"/>
          <w:sz w:val="24"/>
          <w:szCs w:val="24"/>
          <w:lang w:val="ru-RU"/>
        </w:rPr>
        <w:t xml:space="preserve"> Ж.З.</w:t>
      </w:r>
    </w:p>
    <w:p w14:paraId="3AD17C4B" w14:textId="119A2111" w:rsidR="00EC620F" w:rsidRPr="007E789F" w:rsidRDefault="00EC620F" w:rsidP="007E789F">
      <w:pPr>
        <w:spacing w:after="0" w:line="240" w:lineRule="auto"/>
        <w:ind w:left="709"/>
        <w:contextualSpacing/>
        <w:jc w:val="both"/>
        <w:rPr>
          <w:color w:val="000000"/>
          <w:sz w:val="24"/>
          <w:szCs w:val="24"/>
          <w:lang w:val="ru-RU"/>
        </w:rPr>
      </w:pPr>
    </w:p>
    <w:p w14:paraId="60F33827" w14:textId="6E5FD75F" w:rsidR="00EC620F" w:rsidRPr="007E789F" w:rsidRDefault="007E789F" w:rsidP="007E789F">
      <w:pPr>
        <w:spacing w:after="0" w:line="240" w:lineRule="auto"/>
        <w:ind w:left="709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18</w:t>
      </w:r>
      <w:r w:rsidR="00EC620F" w:rsidRPr="007E789F">
        <w:rPr>
          <w:color w:val="000000"/>
          <w:sz w:val="24"/>
          <w:szCs w:val="24"/>
          <w:lang w:val="ru-RU"/>
        </w:rPr>
        <w:t>.03.2025г.</w:t>
      </w:r>
    </w:p>
    <w:sectPr w:rsidR="00EC620F" w:rsidRPr="007E78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8318C"/>
    <w:multiLevelType w:val="hybridMultilevel"/>
    <w:tmpl w:val="9FFE751E"/>
    <w:lvl w:ilvl="0" w:tplc="65062BB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0F"/>
    <w:rsid w:val="00037079"/>
    <w:rsid w:val="00100B6C"/>
    <w:rsid w:val="00243400"/>
    <w:rsid w:val="00430E5C"/>
    <w:rsid w:val="004C66DD"/>
    <w:rsid w:val="005A1E0F"/>
    <w:rsid w:val="007E789F"/>
    <w:rsid w:val="0085401E"/>
    <w:rsid w:val="00906E5D"/>
    <w:rsid w:val="00975A59"/>
    <w:rsid w:val="00991A4D"/>
    <w:rsid w:val="00A40D9E"/>
    <w:rsid w:val="00AD7DFB"/>
    <w:rsid w:val="00BA2E56"/>
    <w:rsid w:val="00D20D04"/>
    <w:rsid w:val="00E7388C"/>
    <w:rsid w:val="00E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7CB5"/>
  <w15:chartTrackingRefBased/>
  <w15:docId w15:val="{EDF5FAD1-4F2F-4710-93D3-3E3DED0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1E0F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lenova-15user</cp:lastModifiedBy>
  <cp:revision>6</cp:revision>
  <dcterms:created xsi:type="dcterms:W3CDTF">2025-03-26T06:29:00Z</dcterms:created>
  <dcterms:modified xsi:type="dcterms:W3CDTF">2025-03-31T18:45:00Z</dcterms:modified>
</cp:coreProperties>
</file>